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9" w:rsidRDefault="001A5EE9" w:rsidP="001A5EE9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1A0C08" wp14:editId="5F4C3199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EE9" w:rsidRDefault="001A5EE9" w:rsidP="001A5EE9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2500946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1A5EE9" w:rsidRDefault="001A5EE9" w:rsidP="001A5EE9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2326589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1A5EE9" w:rsidRDefault="001A5EE9" w:rsidP="001A5EE9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1A5EE9" w:rsidRDefault="001A5EE9" w:rsidP="001A5EE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17983F" wp14:editId="693869C6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1A5EE9" w:rsidRDefault="004B468D" w:rsidP="001A5EE9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605</w:t>
      </w:r>
      <w:r w:rsidR="001A5EE9">
        <w:rPr>
          <w:sz w:val="16"/>
        </w:rPr>
        <w:tab/>
      </w:r>
      <w:r w:rsidR="001A5EE9">
        <w:rPr>
          <w:sz w:val="16"/>
        </w:rPr>
        <w:tab/>
        <w:t>Sagsbe</w:t>
      </w:r>
      <w:r w:rsidR="00E86512">
        <w:rPr>
          <w:sz w:val="16"/>
        </w:rPr>
        <w:t>handler</w:t>
      </w:r>
      <w:r w:rsidR="00E86512">
        <w:rPr>
          <w:sz w:val="16"/>
        </w:rPr>
        <w:tab/>
      </w:r>
      <w:proofErr w:type="spellStart"/>
      <w:r w:rsidR="00E86512">
        <w:rPr>
          <w:sz w:val="16"/>
        </w:rPr>
        <w:t>aj</w:t>
      </w:r>
      <w:proofErr w:type="spellEnd"/>
      <w:r w:rsidR="00E86512">
        <w:rPr>
          <w:sz w:val="16"/>
        </w:rPr>
        <w:tab/>
      </w:r>
      <w:r w:rsidR="00E86512">
        <w:rPr>
          <w:sz w:val="16"/>
        </w:rPr>
        <w:tab/>
        <w:t xml:space="preserve">Fredensborg, den  </w:t>
      </w:r>
      <w:r>
        <w:rPr>
          <w:sz w:val="16"/>
        </w:rPr>
        <w:t>10.maj</w:t>
      </w:r>
      <w:r w:rsidR="001A5EE9">
        <w:rPr>
          <w:sz w:val="16"/>
        </w:rPr>
        <w:t xml:space="preserve">  2016</w:t>
      </w:r>
    </w:p>
    <w:p w:rsidR="001A5EE9" w:rsidRDefault="001A5EE9" w:rsidP="001A5EE9">
      <w:pPr>
        <w:rPr>
          <w:sz w:val="16"/>
        </w:rPr>
      </w:pPr>
    </w:p>
    <w:p w:rsidR="001A5EE9" w:rsidRPr="005C5074" w:rsidRDefault="00433EFF" w:rsidP="001A5EE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</w:t>
      </w:r>
      <w:r w:rsidR="001A5EE9">
        <w:rPr>
          <w:b/>
          <w:sz w:val="36"/>
          <w:szCs w:val="36"/>
          <w:u w:val="single"/>
        </w:rPr>
        <w:t xml:space="preserve"> KS-møde onsdag d.</w:t>
      </w:r>
      <w:r w:rsidR="004B468D">
        <w:rPr>
          <w:b/>
          <w:sz w:val="36"/>
          <w:szCs w:val="36"/>
          <w:u w:val="single"/>
        </w:rPr>
        <w:t>1</w:t>
      </w:r>
      <w:r w:rsidR="00DD041B">
        <w:rPr>
          <w:b/>
          <w:sz w:val="36"/>
          <w:szCs w:val="36"/>
          <w:u w:val="single"/>
        </w:rPr>
        <w:t>1</w:t>
      </w:r>
      <w:r w:rsidR="00E86512">
        <w:rPr>
          <w:b/>
          <w:sz w:val="36"/>
          <w:szCs w:val="36"/>
          <w:u w:val="single"/>
        </w:rPr>
        <w:t xml:space="preserve">.maj 2016 kl. </w:t>
      </w:r>
      <w:r w:rsidR="007E37BD">
        <w:rPr>
          <w:b/>
          <w:sz w:val="36"/>
          <w:szCs w:val="36"/>
          <w:u w:val="single"/>
        </w:rPr>
        <w:t>11-13</w:t>
      </w:r>
    </w:p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</w:tr>
    </w:tbl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1A5EE9" w:rsidTr="007E37B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6A1B42" w:rsidRPr="006A1B42">
              <w:rPr>
                <w:lang w:eastAsia="en-US"/>
              </w:rPr>
              <w:t>endelig dato for sommermøde TR</w:t>
            </w:r>
            <w:r w:rsidR="006A1B42">
              <w:rPr>
                <w:lang w:eastAsia="en-US"/>
              </w:rPr>
              <w:t>?</w:t>
            </w:r>
          </w:p>
          <w:p w:rsidR="001A5EE9" w:rsidRDefault="001A5EE9" w:rsidP="00BB5956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1DD" w:rsidRDefault="00D551DD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Sommermøde TR:</w:t>
            </w:r>
          </w:p>
          <w:p w:rsidR="001A5EE9" w:rsidRDefault="00D551DD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 fastholder dato. Møde kl. 16 og afslutning kl. 17.</w:t>
            </w:r>
            <w:r w:rsidR="001A5EE9">
              <w:rPr>
                <w:i/>
                <w:lang w:eastAsia="en-US"/>
              </w:rPr>
              <w:t xml:space="preserve">  </w:t>
            </w:r>
            <w:r>
              <w:rPr>
                <w:i/>
                <w:lang w:eastAsia="en-US"/>
              </w:rPr>
              <w:t>Enten hos AJ eller TW.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 w:rsidR="007E37BD">
              <w:rPr>
                <w:lang w:eastAsia="en-US"/>
              </w:rPr>
              <w:t xml:space="preserve">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49" w:rsidRPr="00D551DD" w:rsidRDefault="00D551DD" w:rsidP="00AE1255">
            <w:pPr>
              <w:rPr>
                <w:b/>
                <w:i/>
                <w:lang w:eastAsia="en-US"/>
              </w:rPr>
            </w:pPr>
            <w:r w:rsidRPr="00D551DD">
              <w:rPr>
                <w:b/>
                <w:i/>
                <w:lang w:eastAsia="en-US"/>
              </w:rPr>
              <w:t>3.a:</w:t>
            </w:r>
          </w:p>
          <w:p w:rsidR="00D551DD" w:rsidRDefault="00D551DD" w:rsidP="00AE1255">
            <w:pPr>
              <w:rPr>
                <w:i/>
                <w:lang w:eastAsia="en-US"/>
              </w:rPr>
            </w:pPr>
            <w:r w:rsidRPr="00D551DD">
              <w:rPr>
                <w:i/>
                <w:lang w:eastAsia="en-US"/>
              </w:rPr>
              <w:t>Indbydelse til</w:t>
            </w:r>
            <w:r>
              <w:rPr>
                <w:i/>
                <w:lang w:eastAsia="en-US"/>
              </w:rPr>
              <w:t xml:space="preserve"> Medlemsfest udsendt af</w:t>
            </w:r>
            <w:r w:rsidR="006D47A4">
              <w:rPr>
                <w:i/>
                <w:lang w:eastAsia="en-US"/>
              </w:rPr>
              <w:t xml:space="preserve"> AJ til alle medlemmer. Tilbage</w:t>
            </w:r>
            <w:r>
              <w:rPr>
                <w:i/>
                <w:lang w:eastAsia="en-US"/>
              </w:rPr>
              <w:t>melding slut maj fra TR. Liste over pensionisttilmelding ligger på mødebordet.(Husk at minde pensionister og andre om at tjekke adresse på MIN side)</w:t>
            </w:r>
          </w:p>
          <w:p w:rsidR="00D551DD" w:rsidRDefault="002A5414" w:rsidP="002A541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om aflønning for udtræksprøver i 9. klasse. AJ </w:t>
            </w:r>
            <w:r w:rsidR="003D5F74">
              <w:rPr>
                <w:i/>
                <w:lang w:eastAsia="en-US"/>
              </w:rPr>
              <w:t xml:space="preserve">svarer Karen og orienterer </w:t>
            </w:r>
            <w:proofErr w:type="spellStart"/>
            <w:r w:rsidR="003D5F74">
              <w:rPr>
                <w:i/>
                <w:lang w:eastAsia="en-US"/>
              </w:rPr>
              <w:t>eøvrige</w:t>
            </w:r>
            <w:proofErr w:type="spellEnd"/>
            <w:r w:rsidR="003D5F74">
              <w:rPr>
                <w:i/>
                <w:lang w:eastAsia="en-US"/>
              </w:rPr>
              <w:t xml:space="preserve"> TR på mødet.</w:t>
            </w:r>
            <w:r w:rsidR="006D47A4">
              <w:rPr>
                <w:i/>
                <w:lang w:eastAsia="en-US"/>
              </w:rPr>
              <w:t xml:space="preserve"> Hvordan foregår det på de forskellige skoler?</w:t>
            </w:r>
          </w:p>
          <w:p w:rsidR="002A5414" w:rsidRDefault="002A5414" w:rsidP="00802C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Praktikvejledning. </w:t>
            </w:r>
            <w:r w:rsidR="003D5F74">
              <w:rPr>
                <w:i/>
                <w:lang w:eastAsia="en-US"/>
              </w:rPr>
              <w:t>Ska</w:t>
            </w:r>
            <w:r w:rsidR="001A3D38">
              <w:rPr>
                <w:i/>
                <w:lang w:eastAsia="en-US"/>
              </w:rPr>
              <w:t>l vi have en aftale?</w:t>
            </w:r>
          </w:p>
          <w:p w:rsidR="00802CE0" w:rsidRDefault="00802CE0" w:rsidP="00802CE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3.b:</w:t>
            </w:r>
          </w:p>
          <w:p w:rsidR="00802CE0" w:rsidRDefault="001A3D38" w:rsidP="00802C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Jørgen Christ</w:t>
            </w:r>
            <w:r w:rsidR="00802CE0">
              <w:rPr>
                <w:i/>
                <w:lang w:eastAsia="en-US"/>
              </w:rPr>
              <w:t xml:space="preserve">ensen fra Hovedforeningen har bedt om </w:t>
            </w:r>
            <w:proofErr w:type="spellStart"/>
            <w:r w:rsidR="00802CE0">
              <w:rPr>
                <w:i/>
                <w:lang w:eastAsia="en-US"/>
              </w:rPr>
              <w:t>AMR´er</w:t>
            </w:r>
            <w:proofErr w:type="spellEnd"/>
            <w:r w:rsidR="00802CE0">
              <w:rPr>
                <w:i/>
                <w:lang w:eastAsia="en-US"/>
              </w:rPr>
              <w:t xml:space="preserve"> eller </w:t>
            </w:r>
            <w:proofErr w:type="spellStart"/>
            <w:r w:rsidR="00802CE0">
              <w:rPr>
                <w:i/>
                <w:lang w:eastAsia="en-US"/>
              </w:rPr>
              <w:t>TR´er</w:t>
            </w:r>
            <w:proofErr w:type="spellEnd"/>
            <w:r w:rsidR="00802CE0">
              <w:rPr>
                <w:i/>
                <w:lang w:eastAsia="en-US"/>
              </w:rPr>
              <w:t xml:space="preserve"> til et fokusgruppeinterview. AJ videregivet aktuelle </w:t>
            </w:r>
            <w:proofErr w:type="spellStart"/>
            <w:r w:rsidR="00802CE0">
              <w:rPr>
                <w:i/>
                <w:lang w:eastAsia="en-US"/>
              </w:rPr>
              <w:t>tlf.numre</w:t>
            </w:r>
            <w:proofErr w:type="spellEnd"/>
            <w:r w:rsidR="00802CE0">
              <w:rPr>
                <w:i/>
                <w:lang w:eastAsia="en-US"/>
              </w:rPr>
              <w:t>.</w:t>
            </w:r>
          </w:p>
          <w:p w:rsidR="00802CE0" w:rsidRDefault="00802CE0" w:rsidP="00802C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AMR-møde 10.5.2016 aflyst, </w:t>
            </w:r>
            <w:r w:rsidR="001A3D38">
              <w:rPr>
                <w:i/>
                <w:lang w:eastAsia="en-US"/>
              </w:rPr>
              <w:t xml:space="preserve"> </w:t>
            </w:r>
          </w:p>
          <w:p w:rsidR="00802CE0" w:rsidRDefault="00802CE0" w:rsidP="00802CE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3.c:</w:t>
            </w:r>
          </w:p>
          <w:p w:rsidR="00802CE0" w:rsidRDefault="00802CE0" w:rsidP="00802C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FAK-møde 9.5.2016</w:t>
            </w:r>
          </w:p>
          <w:p w:rsidR="00802CE0" w:rsidRDefault="00802CE0" w:rsidP="00802CE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3.d:</w:t>
            </w:r>
          </w:p>
          <w:p w:rsidR="00802CE0" w:rsidRDefault="00802CE0" w:rsidP="00802C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Under kasserer tages fremover ca. en gang månedligt en økonomisk status.</w:t>
            </w:r>
          </w:p>
          <w:p w:rsidR="00802CE0" w:rsidRDefault="00802CE0" w:rsidP="00802C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Bestilling af to rejsekort.</w:t>
            </w:r>
          </w:p>
          <w:p w:rsidR="00802CE0" w:rsidRDefault="00802CE0" w:rsidP="00802CE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3.e:</w:t>
            </w:r>
          </w:p>
          <w:p w:rsidR="00802CE0" w:rsidRDefault="00802CE0" w:rsidP="00802C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HU møde i dag 11.5.201 Personalepolitikken mangler nu kun en godkendelse i Økonomiudvalget (23.5.2016). Når endelig version foreligger, udsender CL til alle </w:t>
            </w:r>
            <w:proofErr w:type="spellStart"/>
            <w:r>
              <w:rPr>
                <w:i/>
                <w:lang w:eastAsia="en-US"/>
              </w:rPr>
              <w:t>TR´er</w:t>
            </w:r>
            <w:proofErr w:type="spellEnd"/>
            <w:r>
              <w:rPr>
                <w:i/>
                <w:lang w:eastAsia="en-US"/>
              </w:rPr>
              <w:t xml:space="preserve">, så den kan diskuteres på LU. </w:t>
            </w:r>
          </w:p>
          <w:p w:rsidR="00802CE0" w:rsidRDefault="00802CE0" w:rsidP="00802C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Ang. SPARK: 3-5 lokale udvalg kan søge konsulentstøtte fra SPARK efter først-til-mølle-princippet.</w:t>
            </w:r>
          </w:p>
          <w:p w:rsidR="00802CE0" w:rsidRDefault="00802CE0" w:rsidP="00802C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HU-formøder placeres fremover dagen før HU-møderne, </w:t>
            </w:r>
            <w:r>
              <w:rPr>
                <w:i/>
                <w:lang w:eastAsia="en-US"/>
              </w:rPr>
              <w:lastRenderedPageBreak/>
              <w:t xml:space="preserve">så alle kan nå at vende dagsordenen med deres bagland inden formødet. </w:t>
            </w:r>
          </w:p>
          <w:p w:rsidR="00802CE0" w:rsidRDefault="00802CE0" w:rsidP="00802CE0">
            <w:pPr>
              <w:rPr>
                <w:b/>
                <w:i/>
                <w:lang w:eastAsia="en-US"/>
              </w:rPr>
            </w:pPr>
            <w:r w:rsidRPr="00802CE0">
              <w:rPr>
                <w:b/>
                <w:i/>
                <w:lang w:eastAsia="en-US"/>
              </w:rPr>
              <w:t>3.g:</w:t>
            </w:r>
          </w:p>
          <w:p w:rsidR="00802CE0" w:rsidRDefault="00BB5FBF" w:rsidP="00802CE0">
            <w:pPr>
              <w:rPr>
                <w:i/>
                <w:lang w:eastAsia="en-US"/>
              </w:rPr>
            </w:pPr>
            <w:r w:rsidRPr="00BB5FBF">
              <w:rPr>
                <w:i/>
                <w:lang w:eastAsia="en-US"/>
              </w:rPr>
              <w:t xml:space="preserve">Invitation til </w:t>
            </w:r>
            <w:r>
              <w:rPr>
                <w:i/>
                <w:lang w:eastAsia="en-US"/>
              </w:rPr>
              <w:t>Medlemsfesten lagt ud.</w:t>
            </w:r>
          </w:p>
          <w:p w:rsidR="00BB5FBF" w:rsidRDefault="00BB5FBF" w:rsidP="00802C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Senere lægges ud omkring valgte repræsentanter i MED-systemet og ferieregler.</w:t>
            </w:r>
          </w:p>
          <w:p w:rsidR="00BB5FBF" w:rsidRDefault="00BB5FBF" w:rsidP="00802CE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3.h:</w:t>
            </w:r>
          </w:p>
          <w:p w:rsidR="00BB5FBF" w:rsidRPr="00BB5FBF" w:rsidRDefault="001A3D38" w:rsidP="00802C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givet</w:t>
            </w:r>
          </w:p>
        </w:tc>
      </w:tr>
      <w:tr w:rsidR="001A5EE9" w:rsidTr="00E86512">
        <w:trPr>
          <w:trHeight w:val="170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Velfærdsalliancen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DA745E">
              <w:rPr>
                <w:b/>
                <w:sz w:val="28"/>
                <w:szCs w:val="28"/>
                <w:lang w:eastAsia="en-US"/>
              </w:rPr>
              <w:t>/</w:t>
            </w:r>
            <w:r w:rsidRPr="00DA745E">
              <w:rPr>
                <w:lang w:eastAsia="en-US"/>
              </w:rPr>
              <w:t>CL, AHJ</w:t>
            </w:r>
            <w:r w:rsidR="007E37BD">
              <w:rPr>
                <w:lang w:eastAsia="en-US"/>
              </w:rPr>
              <w:br/>
              <w:t>Program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9" w:rsidRDefault="00BB5FBF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De, der har mulighed for det, kommer allerede kl. 15 og hjælper med de praktiske opgaver.</w:t>
            </w:r>
          </w:p>
          <w:p w:rsidR="00BB5FBF" w:rsidRDefault="00BB5FBF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Senere </w:t>
            </w:r>
            <w:r w:rsidR="001A3D38">
              <w:rPr>
                <w:i/>
                <w:lang w:eastAsia="en-US"/>
              </w:rPr>
              <w:t>evalueringsmøde 24/5</w:t>
            </w:r>
          </w:p>
          <w:p w:rsidR="00BB5FBF" w:rsidRDefault="001A3D38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E86512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12" w:rsidRPr="00E86512" w:rsidRDefault="00E86512" w:rsidP="00E8651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E86512">
              <w:rPr>
                <w:sz w:val="28"/>
                <w:szCs w:val="28"/>
                <w:u w:val="single"/>
                <w:lang w:eastAsia="en-US"/>
              </w:rPr>
              <w:t>Medlemsarrangement</w:t>
            </w:r>
            <w:r w:rsidR="002364FD">
              <w:rPr>
                <w:sz w:val="28"/>
                <w:szCs w:val="28"/>
                <w:u w:val="single"/>
                <w:lang w:eastAsia="en-US"/>
              </w:rPr>
              <w:t xml:space="preserve"> 4/11-16</w:t>
            </w:r>
            <w:r w:rsidRPr="00E86512">
              <w:rPr>
                <w:sz w:val="28"/>
                <w:szCs w:val="28"/>
                <w:u w:val="single"/>
                <w:lang w:eastAsia="en-US"/>
              </w:rPr>
              <w:br/>
            </w:r>
            <w:r w:rsidRPr="00E86512">
              <w:rPr>
                <w:i/>
                <w:lang w:eastAsia="en-US"/>
              </w:rPr>
              <w:t xml:space="preserve">Festgruppe nedsat: Claes, Martin. Pia, Karen, Torben F. </w:t>
            </w:r>
            <w:r w:rsidR="00C77F7B">
              <w:rPr>
                <w:i/>
                <w:lang w:eastAsia="en-US"/>
              </w:rPr>
              <w:t>–</w:t>
            </w:r>
            <w:r w:rsidR="002B4CBD">
              <w:rPr>
                <w:i/>
                <w:lang w:eastAsia="en-US"/>
              </w:rPr>
              <w:t xml:space="preserve"> </w:t>
            </w:r>
            <w:r w:rsidR="00C77F7B">
              <w:rPr>
                <w:i/>
                <w:lang w:eastAsia="en-US"/>
              </w:rPr>
              <w:t xml:space="preserve">skriftligt </w:t>
            </w:r>
            <w:r w:rsidRPr="00E86512">
              <w:rPr>
                <w:i/>
                <w:lang w:eastAsia="en-US"/>
              </w:rPr>
              <w:t>oplæg</w:t>
            </w:r>
            <w:r w:rsidR="00C77F7B">
              <w:rPr>
                <w:i/>
                <w:lang w:eastAsia="en-US"/>
              </w:rPr>
              <w:t xml:space="preserve"> med budget!</w:t>
            </w:r>
          </w:p>
          <w:p w:rsidR="00E86512" w:rsidRDefault="00E86512" w:rsidP="00E86512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  <w:p w:rsidR="007E37BD" w:rsidRPr="007E37BD" w:rsidRDefault="007E37BD" w:rsidP="00E86512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Indbydelse(AJ), oprindeligt budget? (TW)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49" w:rsidRDefault="007E37BD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BB5FBF">
              <w:rPr>
                <w:i/>
                <w:lang w:eastAsia="en-US"/>
              </w:rPr>
              <w:t>TW undersøger budget til festen til næste møde.</w:t>
            </w:r>
          </w:p>
          <w:p w:rsidR="00BB5FBF" w:rsidRDefault="00BB5FBF" w:rsidP="00BB5FB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Overvejelser omkring, hvad vi gør, hvis vi får rigtig mange deltager?</w:t>
            </w:r>
          </w:p>
          <w:p w:rsidR="00BB5FBF" w:rsidRDefault="00BB5FBF" w:rsidP="00BB5FB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er mindste antal for afholdelse af fest?</w:t>
            </w:r>
          </w:p>
        </w:tc>
      </w:tr>
      <w:tr w:rsidR="001A5EE9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</w:p>
          <w:p w:rsidR="001A5EE9" w:rsidRDefault="001A5EE9" w:rsidP="00BB5956">
            <w:pPr>
              <w:pStyle w:val="Listeafsnit"/>
              <w:ind w:left="774"/>
              <w:rPr>
                <w:lang w:eastAsia="en-US"/>
              </w:rPr>
            </w:pPr>
            <w:r>
              <w:rPr>
                <w:lang w:eastAsia="en-US"/>
              </w:rPr>
              <w:t>( næste møde 22. juni 2016)</w:t>
            </w:r>
          </w:p>
          <w:p w:rsidR="001A5EE9" w:rsidRPr="00FA0842" w:rsidRDefault="001A5EE9" w:rsidP="00BB5956">
            <w:pPr>
              <w:pStyle w:val="Listeafsnit"/>
              <w:numPr>
                <w:ilvl w:val="0"/>
                <w:numId w:val="4"/>
              </w:numPr>
              <w:rPr>
                <w:lang w:eastAsia="en-US"/>
              </w:rPr>
            </w:pPr>
            <w:r w:rsidRPr="005F738D">
              <w:rPr>
                <w:i/>
                <w:lang w:eastAsia="en-US"/>
              </w:rPr>
              <w:t xml:space="preserve">Midtvejsevaluering af samarbejdsaftale </w:t>
            </w:r>
            <w:r>
              <w:rPr>
                <w:i/>
                <w:lang w:eastAsia="en-US"/>
              </w:rPr>
              <w:br/>
            </w:r>
            <w:r w:rsidR="007E37BD">
              <w:rPr>
                <w:i/>
                <w:lang w:eastAsia="en-US"/>
              </w:rPr>
              <w:t xml:space="preserve">(møde aftalt til d. </w:t>
            </w:r>
            <w:r w:rsidR="00BB5FBF">
              <w:rPr>
                <w:i/>
                <w:lang w:eastAsia="en-US"/>
              </w:rPr>
              <w:t>1.6.</w:t>
            </w:r>
            <w:r w:rsidRPr="005F738D">
              <w:rPr>
                <w:i/>
                <w:lang w:eastAsia="en-US"/>
              </w:rPr>
              <w:t>2016)</w:t>
            </w:r>
            <w:r w:rsidR="002B4CBD">
              <w:rPr>
                <w:i/>
                <w:lang w:eastAsia="en-US"/>
              </w:rPr>
              <w:t xml:space="preserve"> Bemærk!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t>Rekruttering af lærere</w:t>
            </w:r>
          </w:p>
          <w:p w:rsidR="001A5EE9" w:rsidRPr="003138DD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t>Evaluering af Pæd. Råd-møderne</w:t>
            </w:r>
          </w:p>
          <w:p w:rsidR="001A5EE9" w:rsidRPr="003138DD" w:rsidRDefault="001A5EE9" w:rsidP="00BB5956">
            <w:pPr>
              <w:pStyle w:val="Listeafsnit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i/>
                <w:lang w:eastAsia="en-US"/>
              </w:rPr>
              <w:t>Integration?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IT på skolerne – ønske om orientering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Arrangement – Hvad skal vi med skolen?</w:t>
            </w:r>
          </w:p>
          <w:p w:rsidR="001A5EE9" w:rsidRPr="003138DD" w:rsidRDefault="001A5EE9" w:rsidP="00BB5956">
            <w:pPr>
              <w:pStyle w:val="Listeafsnit"/>
              <w:ind w:left="774"/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6" w:rsidRDefault="001A3D38" w:rsidP="00BB5FB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8E5A94" w:rsidRDefault="008E5A94" w:rsidP="00BB5FBF">
            <w:pPr>
              <w:rPr>
                <w:i/>
                <w:lang w:eastAsia="en-US"/>
              </w:rPr>
            </w:pPr>
          </w:p>
          <w:p w:rsidR="008E5A94" w:rsidRDefault="001A3D38" w:rsidP="006D47A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drøftelse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2" w:rsidRPr="006A1B42" w:rsidRDefault="001A5EE9" w:rsidP="00E8651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A1B42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E86512" w:rsidRPr="006A1B42">
              <w:rPr>
                <w:sz w:val="28"/>
                <w:szCs w:val="28"/>
                <w:u w:val="single"/>
                <w:lang w:eastAsia="en-US"/>
              </w:rPr>
              <w:br/>
            </w:r>
            <w:r w:rsidR="00E86512" w:rsidRPr="006A1B42">
              <w:rPr>
                <w:i/>
                <w:lang w:eastAsia="en-US"/>
              </w:rPr>
              <w:br/>
              <w:t xml:space="preserve">Midtvejsevaluering – Bilag 4 </w:t>
            </w:r>
          </w:p>
          <w:p w:rsidR="007E37BD" w:rsidRDefault="007E37BD" w:rsidP="007E37BD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Sommerferieafslutning for TR</w:t>
            </w:r>
            <w:r>
              <w:rPr>
                <w:i/>
                <w:lang w:eastAsia="en-US"/>
              </w:rPr>
              <w:br/>
              <w:t>Bådhus evaluering</w:t>
            </w:r>
          </w:p>
          <w:p w:rsidR="007E37BD" w:rsidRDefault="007E37BD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  <w:r w:rsidR="006A1B42">
              <w:rPr>
                <w:i/>
                <w:lang w:eastAsia="en-US"/>
              </w:rPr>
              <w:t>Høringssvar (</w:t>
            </w:r>
            <w:proofErr w:type="spellStart"/>
            <w:r w:rsidR="006A1B42">
              <w:rPr>
                <w:i/>
                <w:lang w:eastAsia="en-US"/>
              </w:rPr>
              <w:t>Pæd</w:t>
            </w:r>
            <w:proofErr w:type="spellEnd"/>
            <w:r w:rsidR="006A1B42">
              <w:rPr>
                <w:i/>
                <w:lang w:eastAsia="en-US"/>
              </w:rPr>
              <w:t xml:space="preserve"> råd – 10.klasse)</w:t>
            </w:r>
            <w:r>
              <w:rPr>
                <w:i/>
                <w:lang w:eastAsia="en-US"/>
              </w:rPr>
              <w:br/>
            </w:r>
          </w:p>
          <w:p w:rsidR="007E37BD" w:rsidRPr="006D17BA" w:rsidRDefault="007E37BD" w:rsidP="007E37BD">
            <w:pPr>
              <w:rPr>
                <w:i/>
                <w:u w:val="single"/>
                <w:lang w:eastAsia="en-US"/>
              </w:rPr>
            </w:pPr>
            <w:r w:rsidRPr="006D17BA">
              <w:rPr>
                <w:i/>
                <w:u w:val="single"/>
                <w:lang w:eastAsia="en-US"/>
              </w:rPr>
              <w:t>Til heldagsmøde</w:t>
            </w:r>
            <w:r>
              <w:rPr>
                <w:i/>
                <w:u w:val="single"/>
                <w:lang w:eastAsia="en-US"/>
              </w:rPr>
              <w:t xml:space="preserve"> 19.maj</w:t>
            </w:r>
            <w:r w:rsidRPr="006D17BA">
              <w:rPr>
                <w:i/>
                <w:u w:val="single"/>
                <w:lang w:eastAsia="en-US"/>
              </w:rPr>
              <w:t>:</w:t>
            </w:r>
          </w:p>
          <w:p w:rsidR="007E37BD" w:rsidRDefault="007E37BD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kontorvagter</w:t>
            </w:r>
          </w:p>
          <w:p w:rsidR="007E37BD" w:rsidRDefault="007E37BD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Arbejdsfordeling</w:t>
            </w:r>
            <w:r w:rsidR="008E5A94">
              <w:rPr>
                <w:i/>
                <w:lang w:eastAsia="en-US"/>
              </w:rPr>
              <w:t xml:space="preserve"> - hvilke områder dækkes hvor?</w:t>
            </w:r>
            <w:r>
              <w:rPr>
                <w:i/>
                <w:lang w:eastAsia="en-US"/>
              </w:rPr>
              <w:t xml:space="preserve"> </w:t>
            </w:r>
          </w:p>
          <w:p w:rsidR="007E37BD" w:rsidRDefault="007E37BD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Årshjul</w:t>
            </w:r>
            <w:r>
              <w:rPr>
                <w:i/>
                <w:lang w:eastAsia="en-US"/>
              </w:rPr>
              <w:br/>
            </w:r>
          </w:p>
          <w:p w:rsidR="007E37BD" w:rsidRDefault="007E37BD" w:rsidP="007E37BD">
            <w:pPr>
              <w:pStyle w:val="Listeafsnit"/>
              <w:rPr>
                <w:i/>
                <w:lang w:eastAsia="en-US"/>
              </w:rPr>
            </w:pPr>
          </w:p>
          <w:p w:rsidR="001A5EE9" w:rsidRDefault="001A5EE9" w:rsidP="00E86512">
            <w:pPr>
              <w:ind w:left="720"/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BA" w:rsidRDefault="006D17BA" w:rsidP="00AB44D7">
            <w:pPr>
              <w:rPr>
                <w:i/>
                <w:lang w:eastAsia="en-US"/>
              </w:rPr>
            </w:pPr>
          </w:p>
          <w:p w:rsidR="008E5A94" w:rsidRDefault="008E5A94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 forbindelse med </w:t>
            </w:r>
            <w:proofErr w:type="spellStart"/>
            <w:r>
              <w:rPr>
                <w:i/>
                <w:lang w:eastAsia="en-US"/>
              </w:rPr>
              <w:t>AJ´s</w:t>
            </w:r>
            <w:proofErr w:type="spellEnd"/>
            <w:r>
              <w:rPr>
                <w:i/>
                <w:lang w:eastAsia="en-US"/>
              </w:rPr>
              <w:t xml:space="preserve"> formandskursus er K36 tilbudt sparring til vision/mission og kommunikationsstrategi.</w:t>
            </w:r>
          </w:p>
          <w:p w:rsidR="008E5A94" w:rsidRDefault="008E5A94" w:rsidP="00AB44D7">
            <w:pPr>
              <w:rPr>
                <w:i/>
                <w:lang w:eastAsia="en-US"/>
              </w:rPr>
            </w:pPr>
          </w:p>
          <w:p w:rsidR="007E37BD" w:rsidRPr="008E5A94" w:rsidRDefault="008E5A94" w:rsidP="00AB44D7">
            <w:pPr>
              <w:rPr>
                <w:i/>
                <w:u w:val="single"/>
                <w:lang w:eastAsia="en-US"/>
              </w:rPr>
            </w:pPr>
            <w:r w:rsidRPr="008E5A94">
              <w:rPr>
                <w:i/>
                <w:u w:val="single"/>
                <w:lang w:eastAsia="en-US"/>
              </w:rPr>
              <w:t>Nyt til heldagsmøde d. 19.5.2016:</w:t>
            </w:r>
          </w:p>
          <w:p w:rsidR="008E5A94" w:rsidRDefault="008E5A94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sommerferievagter</w:t>
            </w:r>
          </w:p>
          <w:p w:rsidR="008E5A94" w:rsidRDefault="008E5A94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Budget – økonomi – regnskab</w:t>
            </w:r>
          </w:p>
          <w:p w:rsidR="008E5A94" w:rsidRDefault="008E5A94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Mødekultur</w:t>
            </w:r>
          </w:p>
          <w:p w:rsidR="008E5A94" w:rsidRDefault="008E5A94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Kalender (AJ laver oplæg)</w:t>
            </w:r>
          </w:p>
          <w:p w:rsidR="008E5A94" w:rsidRPr="006D17BA" w:rsidRDefault="008E5A94" w:rsidP="00AB44D7">
            <w:pPr>
              <w:rPr>
                <w:i/>
                <w:lang w:eastAsia="en-US"/>
              </w:rPr>
            </w:pP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BD" w:rsidRPr="007E37BD" w:rsidRDefault="001A5EE9" w:rsidP="007E37B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7E37B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E86512" w:rsidRPr="007E37BD">
              <w:rPr>
                <w:sz w:val="28"/>
                <w:szCs w:val="28"/>
                <w:u w:val="single"/>
                <w:lang w:eastAsia="en-US"/>
              </w:rPr>
              <w:br/>
            </w:r>
            <w:r w:rsidR="00E86512" w:rsidRPr="007E37BD">
              <w:rPr>
                <w:i/>
                <w:lang w:eastAsia="en-US"/>
              </w:rPr>
              <w:t>Pædagogisk Råd</w:t>
            </w:r>
            <w:r w:rsidR="008E5A94">
              <w:rPr>
                <w:i/>
                <w:lang w:eastAsia="en-US"/>
              </w:rPr>
              <w:t xml:space="preserve"> – optakt til et høringssvar</w:t>
            </w:r>
            <w:r w:rsidRPr="007E37BD">
              <w:rPr>
                <w:sz w:val="28"/>
                <w:szCs w:val="28"/>
                <w:u w:val="single"/>
                <w:lang w:eastAsia="en-US"/>
              </w:rPr>
              <w:br/>
            </w:r>
            <w:r w:rsidR="007E37BD" w:rsidRPr="007E37BD">
              <w:rPr>
                <w:i/>
                <w:lang w:eastAsia="en-US"/>
              </w:rPr>
              <w:lastRenderedPageBreak/>
              <w:t>Medlemsfest</w:t>
            </w:r>
          </w:p>
          <w:p w:rsidR="007E37BD" w:rsidRDefault="007E37BD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Sommerferieafslutning</w:t>
            </w:r>
          </w:p>
          <w:p w:rsidR="001A5EE9" w:rsidRPr="00E86512" w:rsidRDefault="001A5EE9" w:rsidP="007E37BD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  <w:r w:rsidRPr="00E86512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8E5A94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Ang. sommerferieafslutning: </w:t>
            </w:r>
            <w:r w:rsidR="001A3D38">
              <w:rPr>
                <w:i/>
                <w:lang w:eastAsia="en-US"/>
              </w:rPr>
              <w:t xml:space="preserve">Hvor? </w:t>
            </w:r>
            <w:r>
              <w:rPr>
                <w:i/>
                <w:lang w:eastAsia="en-US"/>
              </w:rPr>
              <w:t>Afklares på mødet.</w:t>
            </w:r>
          </w:p>
          <w:p w:rsidR="008E5A94" w:rsidRDefault="008E5A94" w:rsidP="007E37BD">
            <w:pPr>
              <w:rPr>
                <w:i/>
                <w:lang w:eastAsia="en-US"/>
              </w:rPr>
            </w:pPr>
          </w:p>
          <w:p w:rsidR="008E5A94" w:rsidRDefault="008E5A94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Orientering fra OU/HU (CL)</w:t>
            </w:r>
          </w:p>
          <w:p w:rsidR="008E5A94" w:rsidRDefault="008E5A94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Valg til MED-systemet d. 15.6.2016 – alle deltager på Rådhuset. Pjece omkring valgene uddeles. (CL)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E86512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94" w:rsidRDefault="008E5A94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hænger servicenummer til kopimaskinen op.</w:t>
            </w:r>
          </w:p>
          <w:p w:rsidR="001A5EE9" w:rsidRDefault="008E5A94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Hvornår skal indkøb noteres i protokollen?</w:t>
            </w:r>
            <w:r w:rsidR="007E37BD"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1A5EE9" w:rsidRDefault="001A5EE9" w:rsidP="001A5EE9"/>
    <w:p w:rsidR="001A5EE9" w:rsidRDefault="001A5EE9" w:rsidP="001A5EE9"/>
    <w:p w:rsidR="001A5EE9" w:rsidRDefault="001A5EE9" w:rsidP="001A5EE9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1A5EE9" w:rsidRDefault="001A5EE9" w:rsidP="001A5EE9"/>
    <w:p w:rsidR="007E5DFB" w:rsidRDefault="007E5DFB"/>
    <w:sectPr w:rsidR="007E5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97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9"/>
    <w:rsid w:val="00084B19"/>
    <w:rsid w:val="000D3AD7"/>
    <w:rsid w:val="001474BE"/>
    <w:rsid w:val="001A3D38"/>
    <w:rsid w:val="001A5EE9"/>
    <w:rsid w:val="001A6476"/>
    <w:rsid w:val="002364FD"/>
    <w:rsid w:val="002A5414"/>
    <w:rsid w:val="002B4CBD"/>
    <w:rsid w:val="002C61F7"/>
    <w:rsid w:val="003D5F74"/>
    <w:rsid w:val="003E324A"/>
    <w:rsid w:val="00433EFF"/>
    <w:rsid w:val="0047044D"/>
    <w:rsid w:val="004B468D"/>
    <w:rsid w:val="004E7C49"/>
    <w:rsid w:val="00510362"/>
    <w:rsid w:val="0053640B"/>
    <w:rsid w:val="00591C5E"/>
    <w:rsid w:val="005A67B8"/>
    <w:rsid w:val="006A1B42"/>
    <w:rsid w:val="006D17BA"/>
    <w:rsid w:val="006D47A4"/>
    <w:rsid w:val="007E37BD"/>
    <w:rsid w:val="007E5DFB"/>
    <w:rsid w:val="00802CE0"/>
    <w:rsid w:val="008E5A94"/>
    <w:rsid w:val="00A51151"/>
    <w:rsid w:val="00A7581A"/>
    <w:rsid w:val="00AB44D7"/>
    <w:rsid w:val="00AE1255"/>
    <w:rsid w:val="00AE73D6"/>
    <w:rsid w:val="00B53EB9"/>
    <w:rsid w:val="00BB5FBF"/>
    <w:rsid w:val="00C77F7B"/>
    <w:rsid w:val="00D551DD"/>
    <w:rsid w:val="00DD041B"/>
    <w:rsid w:val="00E86512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2016-05-04T11:58:00Z</cp:lastPrinted>
  <dcterms:created xsi:type="dcterms:W3CDTF">2016-05-17T14:58:00Z</dcterms:created>
  <dcterms:modified xsi:type="dcterms:W3CDTF">2016-05-17T14:58:00Z</dcterms:modified>
</cp:coreProperties>
</file>